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41" w:rsidRPr="000966F4" w:rsidRDefault="000D5841" w:rsidP="000D5841">
      <w:pPr>
        <w:spacing w:line="420" w:lineRule="exact"/>
        <w:jc w:val="center"/>
        <w:rPr>
          <w:rFonts w:ascii="標楷體" w:eastAsia="標楷體" w:hAnsi="標楷體"/>
          <w:b/>
          <w:color w:val="000000"/>
          <w:sz w:val="32"/>
          <w:szCs w:val="32"/>
          <w:u w:val="single"/>
        </w:rPr>
      </w:pPr>
      <w:bookmarkStart w:id="0" w:name="_Toc430348909"/>
      <w:r>
        <w:rPr>
          <w:rFonts w:ascii="標楷體" w:eastAsia="標楷體" w:hAnsi="標楷體" w:hint="eastAsia"/>
          <w:b/>
          <w:color w:val="000000"/>
          <w:sz w:val="32"/>
          <w:szCs w:val="32"/>
          <w:u w:val="single"/>
        </w:rPr>
        <w:t>國立中山大學推廣教育</w:t>
      </w:r>
      <w:r w:rsidRPr="000966F4">
        <w:rPr>
          <w:rFonts w:ascii="標楷體" w:eastAsia="標楷體" w:hAnsi="標楷體" w:hint="eastAsia"/>
          <w:b/>
          <w:color w:val="000000"/>
          <w:sz w:val="32"/>
          <w:szCs w:val="32"/>
          <w:u w:val="single"/>
        </w:rPr>
        <w:t>重要規定自我檢核表</w:t>
      </w:r>
    </w:p>
    <w:p w:rsidR="000D5841" w:rsidRPr="00A81047" w:rsidRDefault="00D008FE" w:rsidP="00D008FE">
      <w:pPr>
        <w:spacing w:beforeLines="50" w:before="120" w:afterLines="100" w:after="240" w:line="240" w:lineRule="exact"/>
        <w:ind w:leftChars="-177" w:left="-425" w:right="142"/>
        <w:jc w:val="right"/>
        <w:rPr>
          <w:rFonts w:ascii="標楷體" w:eastAsia="標楷體"/>
          <w:bCs/>
          <w:color w:val="000000" w:themeColor="text1"/>
          <w:sz w:val="20"/>
          <w:szCs w:val="20"/>
        </w:rPr>
      </w:pPr>
      <w:r>
        <w:rPr>
          <w:rFonts w:ascii="標楷體" w:eastAsia="標楷體" w:hint="eastAsia"/>
          <w:bCs/>
          <w:color w:val="000000" w:themeColor="text1"/>
          <w:sz w:val="20"/>
          <w:szCs w:val="20"/>
        </w:rPr>
        <w:t>經105學年度第1學期第2次推廣教育會議通過</w:t>
      </w:r>
      <w:r w:rsidR="004C7FB3">
        <w:rPr>
          <w:rFonts w:ascii="標楷體" w:eastAsia="標楷體" w:hint="eastAsia"/>
          <w:bCs/>
          <w:color w:val="000000" w:themeColor="text1"/>
          <w:sz w:val="20"/>
          <w:szCs w:val="20"/>
        </w:rPr>
        <w:t xml:space="preserve">                         </w:t>
      </w:r>
    </w:p>
    <w:p w:rsidR="001B57F9" w:rsidRPr="00B30675" w:rsidRDefault="007A1373" w:rsidP="00DD459F">
      <w:pPr>
        <w:spacing w:beforeLines="50" w:before="120" w:afterLines="50" w:after="120" w:line="240" w:lineRule="exact"/>
        <w:ind w:leftChars="-177" w:left="-425"/>
        <w:rPr>
          <w:rFonts w:ascii="Arial" w:eastAsia="標楷體" w:hAnsi="標楷體" w:cs="Arial"/>
          <w:szCs w:val="24"/>
        </w:rPr>
      </w:pPr>
      <w:r w:rsidRPr="00B30675">
        <w:rPr>
          <w:rFonts w:ascii="Arial" w:eastAsia="標楷體" w:hAnsi="標楷體" w:cs="Arial" w:hint="eastAsia"/>
          <w:szCs w:val="24"/>
        </w:rPr>
        <w:t>一、</w:t>
      </w:r>
      <w:r w:rsidR="00647930" w:rsidRPr="00B30675">
        <w:rPr>
          <w:rFonts w:ascii="Arial" w:eastAsia="標楷體" w:hAnsi="標楷體" w:cs="Arial" w:hint="eastAsia"/>
          <w:szCs w:val="24"/>
        </w:rPr>
        <w:t>開班</w:t>
      </w:r>
      <w:r w:rsidR="001B57F9" w:rsidRPr="00B30675">
        <w:rPr>
          <w:rFonts w:ascii="Arial" w:eastAsia="標楷體" w:hAnsi="標楷體" w:cs="Arial" w:hint="eastAsia"/>
          <w:szCs w:val="24"/>
        </w:rPr>
        <w:t>單位名稱：</w:t>
      </w:r>
      <w:bookmarkEnd w:id="0"/>
    </w:p>
    <w:p w:rsidR="00647930" w:rsidRPr="00B30675" w:rsidRDefault="007A1373" w:rsidP="00DD459F">
      <w:pPr>
        <w:spacing w:beforeLines="50" w:before="120" w:afterLines="50" w:after="120" w:line="240" w:lineRule="exact"/>
        <w:ind w:leftChars="-177" w:left="-425"/>
        <w:rPr>
          <w:rFonts w:ascii="Arial" w:eastAsia="標楷體" w:hAnsi="標楷體" w:cs="Arial"/>
          <w:szCs w:val="24"/>
        </w:rPr>
      </w:pPr>
      <w:r w:rsidRPr="00B30675">
        <w:rPr>
          <w:rFonts w:ascii="Arial" w:eastAsia="標楷體" w:hAnsi="標楷體" w:cs="Arial" w:hint="eastAsia"/>
          <w:szCs w:val="24"/>
        </w:rPr>
        <w:t>二</w:t>
      </w:r>
      <w:r w:rsidR="00B30675" w:rsidRPr="00B30675">
        <w:rPr>
          <w:rFonts w:ascii="Arial" w:eastAsia="標楷體" w:hAnsi="標楷體" w:cs="Arial" w:hint="eastAsia"/>
          <w:szCs w:val="24"/>
        </w:rPr>
        <w:t>、</w:t>
      </w:r>
      <w:r w:rsidR="00647930" w:rsidRPr="00B30675">
        <w:rPr>
          <w:rFonts w:ascii="Arial" w:eastAsia="標楷體" w:hAnsi="標楷體" w:cs="Arial" w:hint="eastAsia"/>
          <w:szCs w:val="24"/>
        </w:rPr>
        <w:t>開班班別</w:t>
      </w:r>
      <w:r w:rsidR="00647930" w:rsidRPr="00B30675">
        <w:rPr>
          <w:rFonts w:ascii="Arial" w:eastAsia="標楷體" w:hAnsi="標楷體" w:cs="Arial" w:hint="eastAsia"/>
          <w:szCs w:val="24"/>
        </w:rPr>
        <w:t>(</w:t>
      </w:r>
      <w:r w:rsidR="00647930" w:rsidRPr="00B30675">
        <w:rPr>
          <w:rFonts w:ascii="Arial" w:eastAsia="標楷體" w:hAnsi="標楷體" w:cs="Arial" w:hint="eastAsia"/>
          <w:szCs w:val="24"/>
        </w:rPr>
        <w:t>期別</w:t>
      </w:r>
      <w:r w:rsidR="00647930" w:rsidRPr="00B30675">
        <w:rPr>
          <w:rFonts w:ascii="Arial" w:eastAsia="標楷體" w:hAnsi="標楷體" w:cs="Arial" w:hint="eastAsia"/>
          <w:szCs w:val="24"/>
        </w:rPr>
        <w:t>)</w:t>
      </w:r>
      <w:r w:rsidR="00647930" w:rsidRPr="00B30675">
        <w:rPr>
          <w:rFonts w:ascii="Arial" w:eastAsia="標楷體" w:hAnsi="標楷體" w:cs="Arial" w:hint="eastAsia"/>
          <w:szCs w:val="24"/>
        </w:rPr>
        <w:t>：</w:t>
      </w:r>
    </w:p>
    <w:p w:rsidR="00B30675" w:rsidRDefault="00EE2384" w:rsidP="004C7FB3">
      <w:pPr>
        <w:spacing w:beforeLines="100" w:before="240" w:afterLines="50" w:after="120" w:line="240" w:lineRule="exact"/>
        <w:ind w:leftChars="-177" w:left="-425"/>
        <w:jc w:val="both"/>
        <w:rPr>
          <w:rFonts w:ascii="Arial" w:eastAsia="標楷體" w:hAnsi="標楷體" w:cs="Arial"/>
          <w:bCs/>
          <w:color w:val="FF0000"/>
          <w:szCs w:val="24"/>
        </w:rPr>
      </w:pPr>
      <w:r>
        <w:rPr>
          <w:rFonts w:ascii="Arial" w:eastAsia="標楷體" w:hAnsi="標楷體" w:cs="Arial" w:hint="eastAsia"/>
          <w:szCs w:val="24"/>
        </w:rPr>
        <w:t>本開班單位在提交招生計畫書時，已瞭解下列規定：</w:t>
      </w:r>
    </w:p>
    <w:tbl>
      <w:tblPr>
        <w:tblW w:w="10234" w:type="dxa"/>
        <w:tblInd w:w="-398" w:type="dxa"/>
        <w:tblCellMar>
          <w:left w:w="28" w:type="dxa"/>
          <w:right w:w="28" w:type="dxa"/>
        </w:tblCellMar>
        <w:tblLook w:val="0000" w:firstRow="0" w:lastRow="0" w:firstColumn="0" w:lastColumn="0" w:noHBand="0" w:noVBand="0"/>
      </w:tblPr>
      <w:tblGrid>
        <w:gridCol w:w="353"/>
        <w:gridCol w:w="8464"/>
        <w:gridCol w:w="1417"/>
      </w:tblGrid>
      <w:tr w:rsidR="000D5841" w:rsidRPr="000966F4" w:rsidTr="00327BE3">
        <w:trPr>
          <w:trHeight w:val="410"/>
        </w:trPr>
        <w:tc>
          <w:tcPr>
            <w:tcW w:w="353" w:type="dxa"/>
          </w:tcPr>
          <w:p w:rsidR="000D5841" w:rsidRPr="000966F4" w:rsidRDefault="000D5841" w:rsidP="009A5773">
            <w:pPr>
              <w:tabs>
                <w:tab w:val="center" w:pos="42"/>
              </w:tabs>
              <w:topLinePunct/>
              <w:spacing w:beforeLines="50" w:before="120" w:line="360" w:lineRule="exact"/>
              <w:ind w:leftChars="-100" w:left="-240" w:firstLineChars="100" w:firstLine="240"/>
              <w:rPr>
                <w:rFonts w:ascii="標楷體" w:eastAsia="標楷體" w:hAnsi="標楷體"/>
                <w:bCs/>
                <w:color w:val="000000"/>
              </w:rPr>
            </w:pPr>
            <w:r w:rsidRPr="000966F4">
              <w:rPr>
                <w:rFonts w:ascii="標楷體" w:eastAsia="標楷體" w:hAnsi="標楷體" w:hint="eastAsia"/>
                <w:bCs/>
                <w:color w:val="000000"/>
              </w:rPr>
              <w:t>1.</w:t>
            </w:r>
          </w:p>
        </w:tc>
        <w:tc>
          <w:tcPr>
            <w:tcW w:w="8464" w:type="dxa"/>
            <w:vAlign w:val="center"/>
          </w:tcPr>
          <w:p w:rsidR="000D5841" w:rsidRPr="000D5841" w:rsidRDefault="000D5841" w:rsidP="006A721D">
            <w:pPr>
              <w:topLinePunct/>
              <w:spacing w:beforeLines="50" w:before="120" w:line="360" w:lineRule="exact"/>
              <w:ind w:rightChars="54" w:right="130"/>
              <w:jc w:val="both"/>
              <w:rPr>
                <w:rFonts w:eastAsia="標楷體"/>
                <w:szCs w:val="28"/>
              </w:rPr>
            </w:pPr>
            <w:r w:rsidRPr="000D5841">
              <w:rPr>
                <w:rFonts w:eastAsia="標楷體"/>
                <w:szCs w:val="28"/>
              </w:rPr>
              <w:t>辦理推廣教育，</w:t>
            </w:r>
            <w:r w:rsidRPr="00167374">
              <w:rPr>
                <w:rFonts w:eastAsia="標楷體"/>
                <w:color w:val="FF0000"/>
                <w:szCs w:val="28"/>
                <w:u w:val="single"/>
              </w:rPr>
              <w:t>應衡酌現有師資</w:t>
            </w:r>
            <w:r w:rsidR="006A721D" w:rsidRPr="00167374">
              <w:rPr>
                <w:rFonts w:eastAsia="標楷體" w:hint="eastAsia"/>
                <w:color w:val="FF0000"/>
                <w:szCs w:val="28"/>
                <w:u w:val="single"/>
              </w:rPr>
              <w:t>、課程及教學品質，審慎規劃各班次招生人數。</w:t>
            </w:r>
            <w:r w:rsidRPr="000D5841">
              <w:rPr>
                <w:rFonts w:eastAsia="標楷體"/>
                <w:szCs w:val="28"/>
              </w:rPr>
              <w:t>提供足供教學之圖書、儀器及設備規劃辦理</w:t>
            </w:r>
            <w:r w:rsidR="006A721D">
              <w:rPr>
                <w:rFonts w:eastAsia="標楷體" w:hint="eastAsia"/>
                <w:szCs w:val="28"/>
              </w:rPr>
              <w:t>，</w:t>
            </w:r>
            <w:r w:rsidRPr="000D5841">
              <w:rPr>
                <w:rFonts w:eastAsia="標楷體"/>
                <w:szCs w:val="28"/>
              </w:rPr>
              <w:t>所開辦班別，並應與其現有課程相關。</w:t>
            </w:r>
          </w:p>
        </w:tc>
        <w:tc>
          <w:tcPr>
            <w:tcW w:w="1417" w:type="dxa"/>
          </w:tcPr>
          <w:p w:rsidR="000D5841" w:rsidRPr="000966F4" w:rsidRDefault="000D5841" w:rsidP="000D5841">
            <w:pPr>
              <w:numPr>
                <w:ilvl w:val="0"/>
                <w:numId w:val="2"/>
              </w:numPr>
              <w:spacing w:beforeLines="50" w:before="120" w:line="360" w:lineRule="exact"/>
              <w:jc w:val="center"/>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0D5841" w:rsidRPr="000D5841" w:rsidTr="00327BE3">
        <w:trPr>
          <w:trHeight w:val="205"/>
        </w:trPr>
        <w:tc>
          <w:tcPr>
            <w:tcW w:w="353" w:type="dxa"/>
          </w:tcPr>
          <w:p w:rsidR="000D5841" w:rsidRPr="000D5841" w:rsidRDefault="000D5841" w:rsidP="000D5841">
            <w:pPr>
              <w:topLinePunct/>
              <w:spacing w:beforeLines="50" w:before="120" w:line="360" w:lineRule="exact"/>
              <w:jc w:val="center"/>
              <w:rPr>
                <w:rFonts w:ascii="標楷體" w:eastAsia="標楷體" w:hAnsi="標楷體"/>
                <w:bCs/>
                <w:color w:val="000000"/>
              </w:rPr>
            </w:pPr>
            <w:r w:rsidRPr="000D5841">
              <w:rPr>
                <w:rFonts w:ascii="標楷體" w:eastAsia="標楷體" w:hAnsi="標楷體" w:hint="eastAsia"/>
                <w:bCs/>
                <w:color w:val="000000"/>
              </w:rPr>
              <w:t>2.</w:t>
            </w:r>
          </w:p>
        </w:tc>
        <w:tc>
          <w:tcPr>
            <w:tcW w:w="8464" w:type="dxa"/>
            <w:vAlign w:val="center"/>
          </w:tcPr>
          <w:p w:rsidR="000D5841" w:rsidRDefault="000D5841" w:rsidP="000D5841">
            <w:pPr>
              <w:topLinePunct/>
              <w:spacing w:beforeLines="50" w:before="120" w:line="360" w:lineRule="exact"/>
              <w:ind w:rightChars="54" w:right="130"/>
              <w:jc w:val="both"/>
              <w:rPr>
                <w:rFonts w:eastAsia="標楷體"/>
                <w:szCs w:val="28"/>
              </w:rPr>
            </w:pPr>
            <w:r w:rsidRPr="000D5841">
              <w:rPr>
                <w:rFonts w:eastAsia="標楷體" w:hint="eastAsia"/>
                <w:szCs w:val="28"/>
              </w:rPr>
              <w:t>採校外教學方式者，應依下列規定辦理：</w:t>
            </w:r>
          </w:p>
          <w:p w:rsidR="000D5841" w:rsidRPr="000D5841" w:rsidRDefault="000D5841" w:rsidP="000D5841">
            <w:pPr>
              <w:pStyle w:val="Default"/>
              <w:ind w:left="365" w:hangingChars="152" w:hanging="365"/>
              <w:rPr>
                <w:rFonts w:ascii="Calibri" w:eastAsia="標楷體" w:hAnsi="Calibri" w:cs="Times New Roman"/>
                <w:color w:val="auto"/>
                <w:kern w:val="2"/>
                <w:szCs w:val="28"/>
              </w:rPr>
            </w:pPr>
            <w:r w:rsidRPr="000D5841">
              <w:rPr>
                <w:rFonts w:ascii="Calibri" w:eastAsia="標楷體" w:hAnsi="Calibri" w:cs="Times New Roman" w:hint="eastAsia"/>
                <w:color w:val="auto"/>
                <w:kern w:val="2"/>
                <w:szCs w:val="28"/>
              </w:rPr>
              <w:t>(1)</w:t>
            </w:r>
            <w:r>
              <w:rPr>
                <w:rFonts w:ascii="Calibri" w:eastAsia="標楷體" w:hAnsi="Calibri" w:cs="Times New Roman" w:hint="eastAsia"/>
                <w:color w:val="auto"/>
                <w:kern w:val="2"/>
                <w:szCs w:val="28"/>
              </w:rPr>
              <w:t xml:space="preserve"> </w:t>
            </w:r>
            <w:r w:rsidRPr="000D5841">
              <w:rPr>
                <w:rFonts w:ascii="Calibri" w:eastAsia="標楷體" w:hAnsi="Calibri" w:cs="Times New Roman" w:hint="eastAsia"/>
                <w:color w:val="auto"/>
                <w:kern w:val="2"/>
                <w:szCs w:val="28"/>
              </w:rPr>
              <w:t>屬洽借公、私立學校、公務機關（構）或教學醫院現有合格之場地辦理者，</w:t>
            </w:r>
            <w:r w:rsidRPr="00DD459F">
              <w:rPr>
                <w:rFonts w:ascii="Calibri" w:eastAsia="標楷體" w:hAnsi="Calibri" w:cs="Times New Roman" w:hint="eastAsia"/>
                <w:color w:val="FF0000"/>
                <w:kern w:val="2"/>
                <w:szCs w:val="28"/>
                <w:u w:val="single"/>
              </w:rPr>
              <w:t>應檢具借用協議書，報學校主管機關備查</w:t>
            </w:r>
            <w:r w:rsidRPr="000D5841">
              <w:rPr>
                <w:rFonts w:ascii="Calibri" w:eastAsia="標楷體" w:hAnsi="Calibri" w:cs="Times New Roman" w:hint="eastAsia"/>
                <w:color w:val="auto"/>
                <w:kern w:val="2"/>
                <w:szCs w:val="28"/>
              </w:rPr>
              <w:t>。</w:t>
            </w:r>
          </w:p>
          <w:p w:rsidR="000D5841" w:rsidRPr="000D5841" w:rsidRDefault="000D5841" w:rsidP="005F3165">
            <w:pPr>
              <w:pStyle w:val="Default"/>
              <w:ind w:left="365" w:hangingChars="152" w:hanging="365"/>
              <w:rPr>
                <w:rFonts w:ascii="Calibri" w:eastAsia="標楷體" w:hAnsi="Calibri" w:cs="Times New Roman"/>
                <w:color w:val="auto"/>
                <w:kern w:val="2"/>
                <w:szCs w:val="28"/>
              </w:rPr>
            </w:pPr>
            <w:r w:rsidRPr="000D5841">
              <w:rPr>
                <w:rFonts w:ascii="Calibri" w:eastAsia="標楷體" w:hAnsi="Calibri" w:cs="Times New Roman" w:hint="eastAsia"/>
                <w:color w:val="auto"/>
                <w:kern w:val="2"/>
                <w:szCs w:val="28"/>
              </w:rPr>
              <w:t>(2)</w:t>
            </w:r>
            <w:r w:rsidRPr="000D5841">
              <w:rPr>
                <w:rFonts w:ascii="Calibri" w:eastAsia="標楷體" w:hAnsi="Calibri" w:cs="Times New Roman"/>
                <w:color w:val="auto"/>
                <w:kern w:val="2"/>
                <w:szCs w:val="28"/>
              </w:rPr>
              <w:t xml:space="preserve"> </w:t>
            </w:r>
            <w:r w:rsidRPr="000D5841">
              <w:rPr>
                <w:rFonts w:ascii="Calibri" w:eastAsia="標楷體" w:hAnsi="Calibri" w:cs="Times New Roman" w:hint="eastAsia"/>
                <w:color w:val="auto"/>
                <w:kern w:val="2"/>
                <w:szCs w:val="28"/>
              </w:rPr>
              <w:t>利用</w:t>
            </w:r>
            <w:r w:rsidR="005F3165">
              <w:rPr>
                <w:rFonts w:ascii="Calibri" w:eastAsia="標楷體" w:hAnsi="Calibri" w:cs="Times New Roman" w:hint="eastAsia"/>
                <w:color w:val="auto"/>
                <w:kern w:val="2"/>
                <w:szCs w:val="28"/>
              </w:rPr>
              <w:t>上述</w:t>
            </w:r>
            <w:r w:rsidRPr="000D5841">
              <w:rPr>
                <w:rFonts w:ascii="Calibri" w:eastAsia="標楷體" w:hAnsi="Calibri" w:cs="Times New Roman" w:hint="eastAsia"/>
                <w:color w:val="auto"/>
                <w:kern w:val="2"/>
                <w:szCs w:val="28"/>
              </w:rPr>
              <w:t>以外之場地辦理者，其場地之建築使用類組，應符合建築法規所定</w:t>
            </w:r>
            <w:r w:rsidRPr="00DD459F">
              <w:rPr>
                <w:rFonts w:ascii="Calibri" w:eastAsia="標楷體" w:hAnsi="Calibri" w:cs="Times New Roman"/>
                <w:color w:val="FF0000"/>
                <w:kern w:val="2"/>
                <w:szCs w:val="28"/>
                <w:u w:val="single"/>
              </w:rPr>
              <w:t>D-5</w:t>
            </w:r>
            <w:r w:rsidRPr="000D5841">
              <w:rPr>
                <w:rFonts w:ascii="Calibri" w:eastAsia="標楷體" w:hAnsi="Calibri" w:cs="Times New Roman" w:hint="eastAsia"/>
                <w:color w:val="auto"/>
                <w:kern w:val="2"/>
                <w:szCs w:val="28"/>
              </w:rPr>
              <w:t>使用組別，並不得使用補習班之場所。</w:t>
            </w:r>
            <w:r w:rsidR="005F3165">
              <w:rPr>
                <w:rFonts w:ascii="Calibri" w:eastAsia="標楷體" w:hAnsi="Calibri" w:cs="Times New Roman" w:hint="eastAsia"/>
                <w:color w:val="auto"/>
                <w:kern w:val="2"/>
                <w:szCs w:val="28"/>
              </w:rPr>
              <w:t>且</w:t>
            </w:r>
            <w:r w:rsidR="00EE2384">
              <w:rPr>
                <w:rFonts w:ascii="Calibri" w:eastAsia="標楷體" w:hAnsi="Calibri" w:cs="Times New Roman" w:hint="eastAsia"/>
                <w:color w:val="auto"/>
                <w:kern w:val="2"/>
                <w:szCs w:val="28"/>
              </w:rPr>
              <w:t>需</w:t>
            </w:r>
            <w:r w:rsidRPr="000D5841">
              <w:rPr>
                <w:rFonts w:ascii="Calibri" w:eastAsia="標楷體" w:hAnsi="Calibri" w:cs="Times New Roman" w:hint="eastAsia"/>
                <w:color w:val="auto"/>
                <w:kern w:val="2"/>
                <w:szCs w:val="28"/>
              </w:rPr>
              <w:t>於</w:t>
            </w:r>
            <w:r w:rsidRPr="00DD459F">
              <w:rPr>
                <w:rFonts w:ascii="Calibri" w:eastAsia="標楷體" w:hAnsi="Calibri" w:cs="Times New Roman" w:hint="eastAsia"/>
                <w:color w:val="FF0000"/>
                <w:kern w:val="2"/>
                <w:szCs w:val="28"/>
                <w:u w:val="single"/>
              </w:rPr>
              <w:t>開班一個月前</w:t>
            </w:r>
            <w:r w:rsidRPr="000D5841">
              <w:rPr>
                <w:rFonts w:ascii="Calibri" w:eastAsia="標楷體" w:hAnsi="Calibri" w:cs="Times New Roman" w:hint="eastAsia"/>
                <w:color w:val="auto"/>
                <w:kern w:val="2"/>
                <w:szCs w:val="28"/>
              </w:rPr>
              <w:t>，檢具使用協議書、該場地建築物使用執照、消防檢查及建築物防火避難設施與設備安全檢查報告等相關文件，報學校主管機關核定。必要時，並檢附衛生檢查文件。</w:t>
            </w:r>
          </w:p>
        </w:tc>
        <w:tc>
          <w:tcPr>
            <w:tcW w:w="1417" w:type="dxa"/>
          </w:tcPr>
          <w:p w:rsidR="000D5841" w:rsidRPr="000D5841" w:rsidRDefault="000D5841" w:rsidP="000D5841">
            <w:pPr>
              <w:numPr>
                <w:ilvl w:val="0"/>
                <w:numId w:val="2"/>
              </w:numPr>
              <w:topLinePunct/>
              <w:spacing w:beforeLines="50" w:before="120" w:line="360" w:lineRule="exact"/>
              <w:jc w:val="center"/>
              <w:rPr>
                <w:rFonts w:ascii="標楷體" w:eastAsia="標楷體" w:hAnsi="標楷體"/>
                <w:bCs/>
                <w:color w:val="000000"/>
              </w:rPr>
            </w:pPr>
            <w:r w:rsidRPr="000D5841">
              <w:rPr>
                <w:rFonts w:ascii="標楷體" w:eastAsia="標楷體" w:hAnsi="標楷體" w:hint="eastAsia"/>
                <w:bCs/>
                <w:color w:val="000000"/>
              </w:rPr>
              <w:t>已瞭解</w:t>
            </w:r>
          </w:p>
        </w:tc>
      </w:tr>
      <w:tr w:rsidR="000D5841" w:rsidRPr="000966F4" w:rsidTr="00327BE3">
        <w:trPr>
          <w:trHeight w:val="1423"/>
        </w:trPr>
        <w:tc>
          <w:tcPr>
            <w:tcW w:w="353" w:type="dxa"/>
          </w:tcPr>
          <w:p w:rsidR="000D5841" w:rsidRPr="000966F4" w:rsidRDefault="000D5841" w:rsidP="003108F6">
            <w:pPr>
              <w:topLinePunct/>
              <w:spacing w:beforeLines="50" w:before="120" w:line="360" w:lineRule="exact"/>
              <w:jc w:val="center"/>
              <w:rPr>
                <w:rFonts w:ascii="標楷體" w:eastAsia="標楷體" w:hAnsi="標楷體"/>
                <w:bCs/>
                <w:color w:val="000000"/>
              </w:rPr>
            </w:pPr>
            <w:r w:rsidRPr="000966F4">
              <w:rPr>
                <w:rFonts w:ascii="標楷體" w:eastAsia="標楷體" w:hAnsi="標楷體" w:hint="eastAsia"/>
                <w:bCs/>
                <w:color w:val="000000"/>
              </w:rPr>
              <w:t>3.</w:t>
            </w:r>
          </w:p>
        </w:tc>
        <w:tc>
          <w:tcPr>
            <w:tcW w:w="8464" w:type="dxa"/>
            <w:vAlign w:val="center"/>
          </w:tcPr>
          <w:p w:rsidR="000D5841" w:rsidRPr="005F3165" w:rsidRDefault="005F3165" w:rsidP="004C7FB3">
            <w:pPr>
              <w:topLinePunct/>
              <w:spacing w:line="360" w:lineRule="exact"/>
              <w:ind w:rightChars="54" w:right="130"/>
              <w:jc w:val="both"/>
              <w:rPr>
                <w:rFonts w:eastAsia="標楷體"/>
                <w:szCs w:val="28"/>
              </w:rPr>
            </w:pPr>
            <w:r w:rsidRPr="005F3165">
              <w:rPr>
                <w:rFonts w:eastAsia="標楷體" w:hint="eastAsia"/>
                <w:szCs w:val="28"/>
              </w:rPr>
              <w:t>採境外教學方式者，應依下列規定辦理：</w:t>
            </w:r>
          </w:p>
          <w:p w:rsidR="005F3165" w:rsidRDefault="005F3165" w:rsidP="004C7FB3">
            <w:pPr>
              <w:pStyle w:val="Default"/>
              <w:numPr>
                <w:ilvl w:val="0"/>
                <w:numId w:val="3"/>
              </w:numPr>
              <w:rPr>
                <w:rFonts w:ascii="Calibri" w:eastAsia="標楷體" w:hAnsi="Calibri" w:cs="Times New Roman"/>
                <w:color w:val="auto"/>
                <w:kern w:val="2"/>
                <w:szCs w:val="28"/>
              </w:rPr>
            </w:pPr>
            <w:r w:rsidRPr="005F3165">
              <w:rPr>
                <w:rFonts w:ascii="Calibri" w:eastAsia="標楷體" w:hAnsi="Calibri" w:cs="Times New Roman" w:hint="eastAsia"/>
                <w:color w:val="auto"/>
                <w:kern w:val="2"/>
                <w:szCs w:val="28"/>
              </w:rPr>
              <w:t>各班次開班計畫應詳細敘明教學場地、課程、師資、招生資格、人數及授課方式等。</w:t>
            </w:r>
          </w:p>
          <w:p w:rsidR="00EE2384" w:rsidRDefault="005F3165" w:rsidP="004C7FB3">
            <w:pPr>
              <w:pStyle w:val="Default"/>
              <w:numPr>
                <w:ilvl w:val="0"/>
                <w:numId w:val="3"/>
              </w:numPr>
              <w:rPr>
                <w:rFonts w:ascii="Calibri" w:eastAsia="標楷體" w:hAnsi="Calibri" w:cs="Times New Roman"/>
                <w:color w:val="auto"/>
                <w:kern w:val="2"/>
                <w:szCs w:val="28"/>
              </w:rPr>
            </w:pPr>
            <w:r w:rsidRPr="00EE2384">
              <w:rPr>
                <w:rFonts w:ascii="Calibri" w:eastAsia="標楷體" w:hAnsi="Calibri" w:cs="Times New Roman" w:hint="eastAsia"/>
                <w:color w:val="auto"/>
                <w:kern w:val="2"/>
                <w:szCs w:val="28"/>
              </w:rPr>
              <w:t>各班次開班計畫書應於</w:t>
            </w:r>
            <w:r w:rsidRPr="00EE2384">
              <w:rPr>
                <w:rFonts w:ascii="Calibri" w:eastAsia="標楷體" w:hAnsi="Calibri" w:cs="Times New Roman" w:hint="eastAsia"/>
                <w:color w:val="FF0000"/>
                <w:kern w:val="2"/>
                <w:szCs w:val="28"/>
                <w:u w:val="single"/>
              </w:rPr>
              <w:t>開班三個月前</w:t>
            </w:r>
            <w:r w:rsidRPr="00EE2384">
              <w:rPr>
                <w:rFonts w:ascii="Calibri" w:eastAsia="標楷體" w:hAnsi="Calibri" w:cs="Times New Roman" w:hint="eastAsia"/>
                <w:color w:val="auto"/>
                <w:kern w:val="2"/>
                <w:szCs w:val="28"/>
              </w:rPr>
              <w:t>報學校主管機關核定，逾期不予受理。</w:t>
            </w:r>
          </w:p>
          <w:p w:rsidR="005F3165" w:rsidRPr="00EE2384" w:rsidRDefault="005F3165" w:rsidP="004C7FB3">
            <w:pPr>
              <w:pStyle w:val="Default"/>
              <w:numPr>
                <w:ilvl w:val="0"/>
                <w:numId w:val="3"/>
              </w:numPr>
              <w:rPr>
                <w:rFonts w:ascii="Calibri" w:eastAsia="標楷體" w:hAnsi="Calibri" w:cs="Times New Roman"/>
                <w:color w:val="auto"/>
                <w:kern w:val="2"/>
                <w:szCs w:val="28"/>
              </w:rPr>
            </w:pPr>
            <w:r w:rsidRPr="00EE2384">
              <w:rPr>
                <w:rFonts w:ascii="Calibri" w:eastAsia="標楷體" w:hAnsi="Calibri" w:cs="Times New Roman" w:hint="eastAsia"/>
                <w:color w:val="auto"/>
                <w:kern w:val="2"/>
                <w:szCs w:val="28"/>
              </w:rPr>
              <w:t>應洽借當地學校之現有場地，且能提供足供該境外教學之圖書、儀器及設備，並檢具借用協議書，併同報核。</w:t>
            </w:r>
            <w:r w:rsidRPr="00EE2384">
              <w:rPr>
                <w:rFonts w:ascii="Calibri" w:eastAsia="標楷體" w:hAnsi="Calibri" w:cs="Times New Roman"/>
                <w:color w:val="auto"/>
                <w:kern w:val="2"/>
                <w:szCs w:val="28"/>
              </w:rPr>
              <w:t xml:space="preserve"> </w:t>
            </w:r>
          </w:p>
          <w:p w:rsidR="004C7FB3" w:rsidRPr="004C7FB3" w:rsidRDefault="005F3165" w:rsidP="004C7FB3">
            <w:pPr>
              <w:pStyle w:val="Default"/>
              <w:numPr>
                <w:ilvl w:val="0"/>
                <w:numId w:val="3"/>
              </w:numPr>
              <w:rPr>
                <w:rFonts w:ascii="Calibri" w:eastAsia="標楷體" w:hAnsi="Calibri"/>
                <w:color w:val="auto"/>
                <w:szCs w:val="28"/>
              </w:rPr>
            </w:pPr>
            <w:r w:rsidRPr="005F3165">
              <w:rPr>
                <w:rFonts w:ascii="Calibri" w:eastAsia="標楷體" w:hAnsi="Calibri" w:cs="Times New Roman" w:hint="eastAsia"/>
                <w:color w:val="auto"/>
                <w:kern w:val="2"/>
                <w:szCs w:val="28"/>
              </w:rPr>
              <w:t>應重視教學品質、維護國家形象、尊嚴及對等原則，</w:t>
            </w:r>
            <w:r w:rsidRPr="005F3165">
              <w:rPr>
                <w:rFonts w:ascii="Calibri" w:eastAsia="標楷體" w:hAnsi="Calibri" w:cs="Times New Roman"/>
                <w:color w:val="auto"/>
                <w:kern w:val="2"/>
                <w:szCs w:val="28"/>
              </w:rPr>
              <w:t xml:space="preserve"> </w:t>
            </w:r>
            <w:r w:rsidRPr="005F3165">
              <w:rPr>
                <w:rFonts w:ascii="Calibri" w:eastAsia="標楷體" w:hAnsi="Calibri" w:cs="Times New Roman" w:hint="eastAsia"/>
                <w:color w:val="auto"/>
                <w:kern w:val="2"/>
                <w:szCs w:val="28"/>
              </w:rPr>
              <w:t>並應遵守當地法令。</w:t>
            </w:r>
            <w:r w:rsidRPr="005F3165">
              <w:rPr>
                <w:rFonts w:ascii="Calibri" w:eastAsia="標楷體" w:hAnsi="Calibri" w:cs="Times New Roman"/>
                <w:color w:val="auto"/>
                <w:kern w:val="2"/>
                <w:szCs w:val="28"/>
              </w:rPr>
              <w:t xml:space="preserve"> </w:t>
            </w:r>
          </w:p>
          <w:p w:rsidR="004C7FB3" w:rsidRPr="004C7FB3" w:rsidRDefault="004C7FB3" w:rsidP="004C7FB3">
            <w:pPr>
              <w:pStyle w:val="Default"/>
              <w:ind w:leftChars="-147" w:left="-353"/>
              <w:rPr>
                <w:rFonts w:ascii="Calibri" w:eastAsia="標楷體" w:hAnsi="Calibri"/>
                <w:color w:val="auto"/>
                <w:szCs w:val="28"/>
              </w:rPr>
            </w:pPr>
          </w:p>
          <w:p w:rsidR="004C7FB3" w:rsidRPr="004C7FB3" w:rsidRDefault="004C7FB3" w:rsidP="004C7FB3">
            <w:pPr>
              <w:pStyle w:val="Default"/>
              <w:ind w:leftChars="-147" w:left="-353"/>
              <w:rPr>
                <w:rFonts w:ascii="Calibri" w:eastAsia="標楷體" w:hAnsi="Calibri"/>
                <w:color w:val="auto"/>
                <w:szCs w:val="28"/>
              </w:rPr>
            </w:pPr>
          </w:p>
        </w:tc>
        <w:tc>
          <w:tcPr>
            <w:tcW w:w="1417" w:type="dxa"/>
          </w:tcPr>
          <w:p w:rsidR="000D5841" w:rsidRPr="005F3165" w:rsidRDefault="000D5841" w:rsidP="000D5841">
            <w:pPr>
              <w:numPr>
                <w:ilvl w:val="0"/>
                <w:numId w:val="2"/>
              </w:numPr>
              <w:spacing w:beforeLines="50" w:before="120" w:line="360" w:lineRule="exact"/>
              <w:jc w:val="center"/>
              <w:rPr>
                <w:rFonts w:eastAsia="標楷體"/>
                <w:szCs w:val="28"/>
              </w:rPr>
            </w:pPr>
            <w:r w:rsidRPr="005F3165">
              <w:rPr>
                <w:rFonts w:eastAsia="標楷體" w:hint="eastAsia"/>
                <w:szCs w:val="28"/>
              </w:rPr>
              <w:t>已瞭解</w:t>
            </w:r>
          </w:p>
        </w:tc>
      </w:tr>
      <w:tr w:rsidR="004C7FB3" w:rsidRPr="000966F4" w:rsidTr="00327BE3">
        <w:trPr>
          <w:trHeight w:val="1423"/>
        </w:trPr>
        <w:tc>
          <w:tcPr>
            <w:tcW w:w="353" w:type="dxa"/>
          </w:tcPr>
          <w:p w:rsidR="004C7FB3" w:rsidRPr="000966F4" w:rsidRDefault="004C7FB3" w:rsidP="003108F6">
            <w:pPr>
              <w:topLinePunct/>
              <w:spacing w:beforeLines="50" w:before="120" w:line="360" w:lineRule="exact"/>
              <w:jc w:val="center"/>
              <w:rPr>
                <w:rFonts w:ascii="標楷體" w:eastAsia="標楷體" w:hAnsi="標楷體"/>
                <w:bCs/>
                <w:color w:val="000000"/>
              </w:rPr>
            </w:pPr>
            <w:r>
              <w:rPr>
                <w:rFonts w:ascii="標楷體" w:eastAsia="標楷體" w:hAnsi="標楷體" w:hint="eastAsia"/>
                <w:bCs/>
                <w:color w:val="000000"/>
              </w:rPr>
              <w:t>4.</w:t>
            </w:r>
          </w:p>
        </w:tc>
        <w:tc>
          <w:tcPr>
            <w:tcW w:w="8464" w:type="dxa"/>
            <w:vAlign w:val="center"/>
          </w:tcPr>
          <w:p w:rsidR="004C7FB3" w:rsidRDefault="004C7FB3" w:rsidP="004C7FB3">
            <w:pPr>
              <w:spacing w:beforeLines="50" w:before="120" w:after="100" w:afterAutospacing="1"/>
              <w:jc w:val="both"/>
              <w:rPr>
                <w:rFonts w:eastAsia="標楷體"/>
                <w:color w:val="FF0000"/>
                <w:szCs w:val="28"/>
                <w:u w:val="single"/>
              </w:rPr>
            </w:pPr>
            <w:r>
              <w:rPr>
                <w:rFonts w:eastAsia="標楷體" w:hint="eastAsia"/>
                <w:szCs w:val="28"/>
              </w:rPr>
              <w:t>瞭解</w:t>
            </w:r>
            <w:r w:rsidRPr="000D5841">
              <w:rPr>
                <w:rFonts w:eastAsia="標楷體" w:hint="eastAsia"/>
                <w:szCs w:val="28"/>
              </w:rPr>
              <w:t>「國立中山大學辦理推廣服務工作實施辦法」第五條</w:t>
            </w:r>
            <w:r>
              <w:rPr>
                <w:rFonts w:eastAsia="標楷體" w:hint="eastAsia"/>
                <w:szCs w:val="28"/>
              </w:rPr>
              <w:t>第一項及第三項之規定：</w:t>
            </w:r>
            <w:r w:rsidRPr="00E0532C">
              <w:rPr>
                <w:rFonts w:eastAsia="標楷體" w:hint="eastAsia"/>
                <w:color w:val="000000" w:themeColor="text1"/>
                <w:szCs w:val="28"/>
              </w:rPr>
              <w:t>第一項：</w:t>
            </w:r>
            <w:r w:rsidRPr="004C7FB3">
              <w:rPr>
                <w:rFonts w:eastAsia="標楷體"/>
                <w:color w:val="FF0000"/>
                <w:szCs w:val="28"/>
                <w:u w:val="single"/>
              </w:rPr>
              <w:t>各班別經費之編列以自給自足為原則，</w:t>
            </w:r>
            <w:r w:rsidRPr="004C7FB3">
              <w:rPr>
                <w:rFonts w:eastAsia="標楷體" w:hint="eastAsia"/>
                <w:color w:val="FF0000"/>
                <w:szCs w:val="28"/>
                <w:u w:val="single"/>
              </w:rPr>
              <w:t>並</w:t>
            </w:r>
            <w:r w:rsidRPr="004C7FB3">
              <w:rPr>
                <w:rFonts w:eastAsia="標楷體"/>
                <w:color w:val="FF0000"/>
                <w:szCs w:val="28"/>
                <w:u w:val="single"/>
              </w:rPr>
              <w:t>提撥經費總收入百分之十八至二十點五為行政管理費，百分之二點五為行政支援費。</w:t>
            </w:r>
          </w:p>
          <w:p w:rsidR="004C7FB3" w:rsidRPr="004C7FB3" w:rsidRDefault="0013019B" w:rsidP="004C7FB3">
            <w:pPr>
              <w:spacing w:after="100" w:afterAutospacing="1"/>
              <w:jc w:val="both"/>
              <w:rPr>
                <w:rFonts w:eastAsia="標楷體"/>
                <w:color w:val="FF0000"/>
                <w:szCs w:val="28"/>
                <w:u w:val="single"/>
              </w:rPr>
            </w:pPr>
            <w:r>
              <w:rPr>
                <w:rFonts w:eastAsia="標楷體" w:hint="eastAsia"/>
                <w:color w:val="000000" w:themeColor="text1"/>
                <w:szCs w:val="28"/>
              </w:rPr>
              <w:t>第三</w:t>
            </w:r>
            <w:r w:rsidR="004C7FB3" w:rsidRPr="00E0532C">
              <w:rPr>
                <w:rFonts w:eastAsia="標楷體" w:hint="eastAsia"/>
                <w:color w:val="000000" w:themeColor="text1"/>
                <w:szCs w:val="28"/>
              </w:rPr>
              <w:t>項：</w:t>
            </w:r>
            <w:r w:rsidR="004C7FB3" w:rsidRPr="004C7FB3">
              <w:rPr>
                <w:rFonts w:eastAsia="標楷體" w:hint="eastAsia"/>
                <w:color w:val="FF0000"/>
                <w:szCs w:val="28"/>
                <w:u w:val="single"/>
              </w:rPr>
              <w:t>若委託單位為政府機關，其對行政管理費之提撥另有規定者；或委託單位為非政府機關且其行政管理費之編列受中央主管機關規定者，得先依其規定之上限辦理。惟計畫結束後尚有結餘者，應優先提撥管理費原編列不足部份。</w:t>
            </w:r>
          </w:p>
        </w:tc>
        <w:tc>
          <w:tcPr>
            <w:tcW w:w="1417" w:type="dxa"/>
          </w:tcPr>
          <w:p w:rsidR="004C7FB3" w:rsidRPr="005F3165" w:rsidRDefault="004C7FB3" w:rsidP="000D5841">
            <w:pPr>
              <w:numPr>
                <w:ilvl w:val="0"/>
                <w:numId w:val="2"/>
              </w:numPr>
              <w:spacing w:beforeLines="50" w:before="120" w:line="360" w:lineRule="exact"/>
              <w:jc w:val="center"/>
              <w:rPr>
                <w:rFonts w:eastAsia="標楷體"/>
                <w:szCs w:val="28"/>
              </w:rPr>
            </w:pPr>
            <w:r w:rsidRPr="005F3165">
              <w:rPr>
                <w:rFonts w:eastAsia="標楷體" w:hint="eastAsia"/>
                <w:szCs w:val="28"/>
              </w:rPr>
              <w:t>已瞭解</w:t>
            </w:r>
          </w:p>
        </w:tc>
      </w:tr>
      <w:tr w:rsidR="000D5841" w:rsidRPr="000966F4" w:rsidTr="00327BE3">
        <w:trPr>
          <w:trHeight w:val="410"/>
        </w:trPr>
        <w:tc>
          <w:tcPr>
            <w:tcW w:w="353" w:type="dxa"/>
          </w:tcPr>
          <w:p w:rsidR="000D5841" w:rsidRPr="000D5841" w:rsidRDefault="000D5841" w:rsidP="004C7FB3">
            <w:pPr>
              <w:topLinePunct/>
              <w:spacing w:beforeLines="50" w:before="120" w:line="360" w:lineRule="exact"/>
              <w:rPr>
                <w:rFonts w:ascii="標楷體" w:eastAsia="標楷體" w:hAnsi="標楷體"/>
                <w:bCs/>
                <w:color w:val="000000"/>
              </w:rPr>
            </w:pPr>
            <w:r w:rsidRPr="000D5841">
              <w:rPr>
                <w:rFonts w:ascii="標楷體" w:eastAsia="標楷體" w:hAnsi="標楷體" w:hint="eastAsia"/>
                <w:bCs/>
                <w:color w:val="000000"/>
              </w:rPr>
              <w:t>5.</w:t>
            </w:r>
          </w:p>
        </w:tc>
        <w:tc>
          <w:tcPr>
            <w:tcW w:w="8464" w:type="dxa"/>
            <w:vAlign w:val="center"/>
          </w:tcPr>
          <w:p w:rsidR="000D5841" w:rsidRPr="00485EAB" w:rsidRDefault="007E6AE5" w:rsidP="007E6AE5">
            <w:pPr>
              <w:tabs>
                <w:tab w:val="left" w:pos="709"/>
              </w:tabs>
              <w:topLinePunct/>
              <w:spacing w:beforeLines="50" w:before="120" w:line="360" w:lineRule="exact"/>
              <w:jc w:val="both"/>
              <w:rPr>
                <w:rFonts w:eastAsia="標楷體"/>
                <w:szCs w:val="28"/>
              </w:rPr>
            </w:pPr>
            <w:r>
              <w:rPr>
                <w:rFonts w:eastAsia="標楷體" w:hint="eastAsia"/>
                <w:szCs w:val="28"/>
              </w:rPr>
              <w:t>瞭解</w:t>
            </w:r>
            <w:r w:rsidRPr="000D5841">
              <w:rPr>
                <w:rFonts w:eastAsia="標楷體" w:hint="eastAsia"/>
                <w:szCs w:val="28"/>
              </w:rPr>
              <w:t>「國立中山大學辦理推廣服務工作實施辦法」第五條</w:t>
            </w:r>
            <w:r>
              <w:rPr>
                <w:rFonts w:eastAsia="標楷體" w:hint="eastAsia"/>
                <w:szCs w:val="28"/>
              </w:rPr>
              <w:t>第二項第二款之規定：</w:t>
            </w:r>
            <w:r w:rsidR="00485EAB" w:rsidRPr="00485EAB">
              <w:rPr>
                <w:rFonts w:eastAsia="標楷體" w:hint="eastAsia"/>
                <w:szCs w:val="28"/>
              </w:rPr>
              <w:t>若教學地點設置於本校或城區部以外地區，其應付學校之校務基金費</w:t>
            </w:r>
            <w:r w:rsidR="00485EAB" w:rsidRPr="00485EAB">
              <w:rPr>
                <w:rFonts w:eastAsia="標楷體"/>
                <w:szCs w:val="28"/>
              </w:rPr>
              <w:t>，</w:t>
            </w:r>
            <w:r w:rsidR="00EE2384" w:rsidRPr="00EE2384">
              <w:rPr>
                <w:rFonts w:eastAsia="標楷體" w:hint="eastAsia"/>
                <w:color w:val="FF0000"/>
                <w:szCs w:val="28"/>
                <w:u w:val="single"/>
              </w:rPr>
              <w:t>前</w:t>
            </w:r>
            <w:r w:rsidR="00485EAB" w:rsidRPr="00EE2384">
              <w:rPr>
                <w:rFonts w:eastAsia="標楷體" w:hint="eastAsia"/>
                <w:color w:val="FF0000"/>
                <w:szCs w:val="28"/>
                <w:u w:val="single"/>
              </w:rPr>
              <w:t>條規定行政管理費之一半為原則</w:t>
            </w:r>
            <w:r w:rsidR="00485EAB" w:rsidRPr="00EE2384">
              <w:rPr>
                <w:rFonts w:eastAsia="標楷體"/>
                <w:color w:val="FF0000"/>
                <w:szCs w:val="28"/>
                <w:u w:val="single"/>
              </w:rPr>
              <w:t>，</w:t>
            </w:r>
            <w:r w:rsidR="00485EAB" w:rsidRPr="00EE2384">
              <w:rPr>
                <w:rFonts w:eastAsia="標楷體" w:hint="eastAsia"/>
                <w:color w:val="FF0000"/>
                <w:szCs w:val="28"/>
                <w:u w:val="single"/>
              </w:rPr>
              <w:t>行政支援費百分之二點五維持不變</w:t>
            </w:r>
            <w:r w:rsidR="00485EAB" w:rsidRPr="00EE2384">
              <w:rPr>
                <w:rFonts w:eastAsia="標楷體"/>
                <w:color w:val="FF0000"/>
                <w:szCs w:val="28"/>
                <w:u w:val="single"/>
              </w:rPr>
              <w:t>。</w:t>
            </w:r>
            <w:bookmarkStart w:id="1" w:name="_GoBack"/>
            <w:bookmarkEnd w:id="1"/>
          </w:p>
        </w:tc>
        <w:tc>
          <w:tcPr>
            <w:tcW w:w="1417" w:type="dxa"/>
          </w:tcPr>
          <w:p w:rsidR="000D5841" w:rsidRPr="00485EAB" w:rsidRDefault="000D5841" w:rsidP="000D5841">
            <w:pPr>
              <w:numPr>
                <w:ilvl w:val="0"/>
                <w:numId w:val="2"/>
              </w:numPr>
              <w:spacing w:beforeLines="50" w:before="120" w:line="360" w:lineRule="exact"/>
              <w:jc w:val="center"/>
              <w:rPr>
                <w:rFonts w:eastAsia="標楷體"/>
                <w:szCs w:val="28"/>
              </w:rPr>
            </w:pPr>
            <w:r w:rsidRPr="00485EAB">
              <w:rPr>
                <w:rFonts w:eastAsia="標楷體" w:hint="eastAsia"/>
                <w:szCs w:val="28"/>
              </w:rPr>
              <w:t>已瞭解</w:t>
            </w:r>
          </w:p>
        </w:tc>
      </w:tr>
      <w:tr w:rsidR="000D5841" w:rsidRPr="000966F4" w:rsidTr="00327BE3">
        <w:trPr>
          <w:trHeight w:val="410"/>
        </w:trPr>
        <w:tc>
          <w:tcPr>
            <w:tcW w:w="353" w:type="dxa"/>
          </w:tcPr>
          <w:p w:rsidR="000D5841" w:rsidRPr="000D5841" w:rsidRDefault="000D5841" w:rsidP="000D5841">
            <w:pPr>
              <w:topLinePunct/>
              <w:spacing w:beforeLines="50" w:before="120" w:line="360" w:lineRule="exact"/>
              <w:jc w:val="center"/>
              <w:rPr>
                <w:rFonts w:ascii="標楷體" w:eastAsia="標楷體" w:hAnsi="標楷體"/>
                <w:bCs/>
                <w:color w:val="000000"/>
              </w:rPr>
            </w:pPr>
            <w:r w:rsidRPr="000D5841">
              <w:rPr>
                <w:rFonts w:ascii="標楷體" w:eastAsia="標楷體" w:hAnsi="標楷體" w:hint="eastAsia"/>
                <w:bCs/>
                <w:color w:val="000000"/>
              </w:rPr>
              <w:t>6.</w:t>
            </w:r>
          </w:p>
        </w:tc>
        <w:tc>
          <w:tcPr>
            <w:tcW w:w="8464" w:type="dxa"/>
            <w:vAlign w:val="center"/>
          </w:tcPr>
          <w:p w:rsidR="000D5841" w:rsidRPr="000966F4" w:rsidRDefault="00EE2384" w:rsidP="009409A5">
            <w:pPr>
              <w:tabs>
                <w:tab w:val="left" w:pos="709"/>
              </w:tabs>
              <w:topLinePunct/>
              <w:spacing w:beforeLines="50" w:before="120" w:line="360" w:lineRule="exact"/>
              <w:ind w:leftChars="42" w:left="101"/>
              <w:jc w:val="both"/>
              <w:rPr>
                <w:rFonts w:ascii="標楷體" w:eastAsia="標楷體" w:hAnsi="標楷體"/>
                <w:bCs/>
                <w:color w:val="000000"/>
              </w:rPr>
            </w:pPr>
            <w:r>
              <w:rPr>
                <w:rFonts w:eastAsia="標楷體"/>
                <w:szCs w:val="28"/>
              </w:rPr>
              <w:t>經費之運用</w:t>
            </w:r>
            <w:r w:rsidR="009409A5" w:rsidRPr="009409A5">
              <w:rPr>
                <w:rFonts w:eastAsia="標楷體"/>
                <w:szCs w:val="28"/>
              </w:rPr>
              <w:t>應與業務推動相關，</w:t>
            </w:r>
            <w:r w:rsidR="009409A5" w:rsidRPr="009835F8">
              <w:rPr>
                <w:rFonts w:eastAsia="標楷體"/>
                <w:color w:val="FF0000"/>
                <w:szCs w:val="28"/>
                <w:u w:val="single"/>
              </w:rPr>
              <w:t>其餐敘、禮品等總核銷之金額，以不超過該班收入之</w:t>
            </w:r>
            <w:r w:rsidR="009409A5" w:rsidRPr="009835F8">
              <w:rPr>
                <w:rFonts w:eastAsia="標楷體"/>
                <w:color w:val="FF0000"/>
                <w:szCs w:val="28"/>
                <w:u w:val="single"/>
              </w:rPr>
              <w:t xml:space="preserve">5% </w:t>
            </w:r>
            <w:r w:rsidR="009409A5" w:rsidRPr="009835F8">
              <w:rPr>
                <w:rFonts w:eastAsia="標楷體"/>
                <w:color w:val="FF0000"/>
                <w:szCs w:val="28"/>
                <w:u w:val="single"/>
              </w:rPr>
              <w:t>為原則</w:t>
            </w:r>
            <w:r w:rsidR="009409A5" w:rsidRPr="009409A5">
              <w:rPr>
                <w:rFonts w:eastAsia="標楷體"/>
                <w:szCs w:val="28"/>
              </w:rPr>
              <w:t>，若必要超過，得於陳請校方核准後辦理之。</w:t>
            </w:r>
          </w:p>
        </w:tc>
        <w:tc>
          <w:tcPr>
            <w:tcW w:w="1417" w:type="dxa"/>
          </w:tcPr>
          <w:p w:rsidR="000D5841" w:rsidRPr="000D5841" w:rsidRDefault="000D5841" w:rsidP="000D5841">
            <w:pPr>
              <w:numPr>
                <w:ilvl w:val="0"/>
                <w:numId w:val="2"/>
              </w:numPr>
              <w:spacing w:beforeLines="50" w:before="120" w:line="360" w:lineRule="exact"/>
              <w:jc w:val="center"/>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0D5841" w:rsidRPr="000966F4" w:rsidTr="00327BE3">
        <w:trPr>
          <w:trHeight w:val="410"/>
        </w:trPr>
        <w:tc>
          <w:tcPr>
            <w:tcW w:w="353" w:type="dxa"/>
          </w:tcPr>
          <w:p w:rsidR="000D5841" w:rsidRPr="000D5841" w:rsidRDefault="000D5841" w:rsidP="000D5841">
            <w:pPr>
              <w:topLinePunct/>
              <w:spacing w:beforeLines="50" w:before="120" w:line="360" w:lineRule="exact"/>
              <w:jc w:val="center"/>
              <w:rPr>
                <w:rFonts w:ascii="標楷體" w:eastAsia="標楷體" w:hAnsi="標楷體"/>
                <w:bCs/>
                <w:color w:val="000000"/>
              </w:rPr>
            </w:pPr>
            <w:r w:rsidRPr="000D5841">
              <w:rPr>
                <w:rFonts w:ascii="標楷體" w:eastAsia="標楷體" w:hAnsi="標楷體" w:hint="eastAsia"/>
                <w:bCs/>
                <w:color w:val="000000"/>
              </w:rPr>
              <w:t>7.</w:t>
            </w:r>
          </w:p>
        </w:tc>
        <w:tc>
          <w:tcPr>
            <w:tcW w:w="8464" w:type="dxa"/>
            <w:vAlign w:val="center"/>
          </w:tcPr>
          <w:p w:rsidR="000D5841" w:rsidRPr="000966F4" w:rsidRDefault="009409A5" w:rsidP="000D5841">
            <w:pPr>
              <w:tabs>
                <w:tab w:val="left" w:pos="709"/>
              </w:tabs>
              <w:topLinePunct/>
              <w:spacing w:beforeLines="50" w:before="120" w:line="360" w:lineRule="exact"/>
              <w:ind w:leftChars="42" w:left="101"/>
              <w:jc w:val="both"/>
              <w:rPr>
                <w:rFonts w:ascii="標楷體" w:eastAsia="標楷體" w:hAnsi="標楷體"/>
                <w:bCs/>
                <w:color w:val="000000"/>
              </w:rPr>
            </w:pPr>
            <w:r w:rsidRPr="000D5841">
              <w:rPr>
                <w:rFonts w:eastAsia="標楷體" w:hint="eastAsia"/>
                <w:szCs w:val="28"/>
              </w:rPr>
              <w:t>開班單位於</w:t>
            </w:r>
            <w:r w:rsidRPr="00616897">
              <w:rPr>
                <w:rFonts w:eastAsia="標楷體" w:hint="eastAsia"/>
                <w:color w:val="FF0000"/>
                <w:szCs w:val="28"/>
                <w:u w:val="single"/>
              </w:rPr>
              <w:t>課程結束後</w:t>
            </w:r>
            <w:r w:rsidRPr="00DD459F">
              <w:rPr>
                <w:rFonts w:eastAsia="標楷體" w:hint="eastAsia"/>
                <w:color w:val="FF0000"/>
                <w:szCs w:val="28"/>
                <w:u w:val="single"/>
              </w:rPr>
              <w:t>應確實繳交學員滿意度調查表</w:t>
            </w:r>
            <w:r>
              <w:rPr>
                <w:rFonts w:eastAsia="標楷體" w:hint="eastAsia"/>
                <w:szCs w:val="28"/>
              </w:rPr>
              <w:t>，</w:t>
            </w:r>
            <w:r w:rsidRPr="000D5841">
              <w:rPr>
                <w:rFonts w:eastAsia="標楷體" w:hint="eastAsia"/>
                <w:szCs w:val="28"/>
              </w:rPr>
              <w:t>其評鑑結果將作為下一期開班考量基準，</w:t>
            </w:r>
            <w:r w:rsidR="00EE2384">
              <w:rPr>
                <w:rFonts w:eastAsia="標楷體" w:hint="eastAsia"/>
                <w:szCs w:val="28"/>
              </w:rPr>
              <w:t>未繳交者</w:t>
            </w:r>
            <w:r w:rsidRPr="000D5841">
              <w:rPr>
                <w:rFonts w:eastAsia="標楷體" w:hint="eastAsia"/>
                <w:szCs w:val="28"/>
              </w:rPr>
              <w:t>不予結案。</w:t>
            </w:r>
          </w:p>
        </w:tc>
        <w:tc>
          <w:tcPr>
            <w:tcW w:w="1417" w:type="dxa"/>
          </w:tcPr>
          <w:p w:rsidR="000D5841" w:rsidRPr="000D5841" w:rsidRDefault="002B56A5" w:rsidP="000D5841">
            <w:pPr>
              <w:numPr>
                <w:ilvl w:val="0"/>
                <w:numId w:val="2"/>
              </w:numPr>
              <w:spacing w:beforeLines="50" w:before="120" w:line="360" w:lineRule="exact"/>
              <w:jc w:val="center"/>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9409A5" w:rsidRPr="000D5841" w:rsidTr="00327BE3">
        <w:trPr>
          <w:trHeight w:val="410"/>
        </w:trPr>
        <w:tc>
          <w:tcPr>
            <w:tcW w:w="353" w:type="dxa"/>
          </w:tcPr>
          <w:p w:rsidR="009409A5" w:rsidRPr="000D5841" w:rsidRDefault="009409A5" w:rsidP="003108F6">
            <w:pPr>
              <w:topLinePunct/>
              <w:spacing w:beforeLines="50" w:before="120" w:line="360" w:lineRule="exact"/>
              <w:jc w:val="center"/>
              <w:rPr>
                <w:rFonts w:ascii="標楷體" w:eastAsia="標楷體" w:hAnsi="標楷體"/>
                <w:bCs/>
                <w:color w:val="000000"/>
              </w:rPr>
            </w:pPr>
            <w:r>
              <w:rPr>
                <w:rFonts w:ascii="標楷體" w:eastAsia="標楷體" w:hAnsi="標楷體" w:hint="eastAsia"/>
                <w:bCs/>
                <w:color w:val="000000"/>
              </w:rPr>
              <w:t>8</w:t>
            </w:r>
            <w:r w:rsidRPr="000D5841">
              <w:rPr>
                <w:rFonts w:ascii="標楷體" w:eastAsia="標楷體" w:hAnsi="標楷體" w:hint="eastAsia"/>
                <w:bCs/>
                <w:color w:val="000000"/>
              </w:rPr>
              <w:t>.</w:t>
            </w:r>
          </w:p>
        </w:tc>
        <w:tc>
          <w:tcPr>
            <w:tcW w:w="8464" w:type="dxa"/>
            <w:vAlign w:val="center"/>
          </w:tcPr>
          <w:p w:rsidR="009409A5" w:rsidRPr="009409A5" w:rsidRDefault="00EE2384" w:rsidP="003108F6">
            <w:pPr>
              <w:tabs>
                <w:tab w:val="left" w:pos="709"/>
              </w:tabs>
              <w:topLinePunct/>
              <w:spacing w:beforeLines="50" w:before="120" w:line="360" w:lineRule="exact"/>
              <w:ind w:leftChars="42" w:left="101"/>
              <w:jc w:val="both"/>
              <w:rPr>
                <w:rFonts w:eastAsia="標楷體"/>
                <w:szCs w:val="28"/>
              </w:rPr>
            </w:pPr>
            <w:r w:rsidRPr="000D5841">
              <w:rPr>
                <w:rFonts w:eastAsia="標楷體" w:hint="eastAsia"/>
                <w:szCs w:val="28"/>
              </w:rPr>
              <w:t>開班單位</w:t>
            </w:r>
            <w:r w:rsidR="009409A5" w:rsidRPr="00DD459F">
              <w:rPr>
                <w:rFonts w:eastAsia="標楷體"/>
                <w:color w:val="FF0000"/>
                <w:szCs w:val="28"/>
                <w:u w:val="single"/>
              </w:rPr>
              <w:t>應於課程結束後三個月內，完成所有結報手續</w:t>
            </w:r>
            <w:r w:rsidR="009409A5" w:rsidRPr="009409A5">
              <w:rPr>
                <w:rFonts w:eastAsia="標楷體"/>
                <w:szCs w:val="28"/>
              </w:rPr>
              <w:t>；若有結餘，全數納入校務基金，其中百分之九十由開班單位使用之</w:t>
            </w:r>
            <w:r w:rsidR="009409A5" w:rsidRPr="000D5841">
              <w:rPr>
                <w:rFonts w:eastAsia="標楷體" w:hint="eastAsia"/>
                <w:szCs w:val="28"/>
              </w:rPr>
              <w:t>。</w:t>
            </w:r>
          </w:p>
        </w:tc>
        <w:tc>
          <w:tcPr>
            <w:tcW w:w="1417" w:type="dxa"/>
          </w:tcPr>
          <w:p w:rsidR="009409A5" w:rsidRPr="009409A5" w:rsidRDefault="002B56A5" w:rsidP="003108F6">
            <w:pPr>
              <w:numPr>
                <w:ilvl w:val="0"/>
                <w:numId w:val="2"/>
              </w:numPr>
              <w:spacing w:beforeLines="50" w:before="120" w:line="360" w:lineRule="exact"/>
              <w:jc w:val="center"/>
              <w:rPr>
                <w:rFonts w:eastAsia="標楷體"/>
                <w:szCs w:val="28"/>
              </w:rPr>
            </w:pPr>
            <w:r w:rsidRPr="000966F4">
              <w:rPr>
                <w:rFonts w:ascii="標楷體" w:eastAsia="標楷體" w:hAnsi="標楷體" w:hint="eastAsia"/>
                <w:color w:val="000000"/>
                <w:shd w:val="clear" w:color="auto" w:fill="FFFFFF"/>
              </w:rPr>
              <w:t>已瞭解</w:t>
            </w:r>
          </w:p>
        </w:tc>
      </w:tr>
    </w:tbl>
    <w:p w:rsidR="00DD459F" w:rsidRDefault="001B57F9" w:rsidP="00D02DF9">
      <w:pPr>
        <w:spacing w:line="360" w:lineRule="exact"/>
        <w:rPr>
          <w:rFonts w:ascii="Arial" w:eastAsia="標楷體" w:hAnsi="標楷體" w:cs="Arial"/>
          <w:b/>
          <w:bCs/>
          <w:color w:val="000000"/>
        </w:rPr>
      </w:pPr>
      <w:r w:rsidRPr="00294593">
        <w:rPr>
          <w:rFonts w:ascii="Arial" w:eastAsia="標楷體" w:hAnsi="標楷體" w:cs="Arial"/>
          <w:b/>
          <w:bCs/>
          <w:color w:val="000000"/>
        </w:rPr>
        <w:t>承辦人員</w:t>
      </w:r>
      <w:r w:rsidR="00EE2384">
        <w:rPr>
          <w:rFonts w:ascii="Arial" w:eastAsia="標楷體" w:hAnsi="標楷體" w:cs="Arial" w:hint="eastAsia"/>
          <w:b/>
          <w:bCs/>
          <w:color w:val="000000"/>
        </w:rPr>
        <w:t>簽章</w:t>
      </w:r>
      <w:r w:rsidRPr="00294593">
        <w:rPr>
          <w:rFonts w:ascii="Arial" w:eastAsia="標楷體" w:hAnsi="標楷體" w:cs="Arial"/>
          <w:b/>
          <w:bCs/>
          <w:color w:val="000000"/>
        </w:rPr>
        <w:t>：</w:t>
      </w:r>
      <w:r w:rsidR="00DD459F">
        <w:rPr>
          <w:rFonts w:ascii="Arial" w:eastAsia="標楷體" w:hAnsi="標楷體" w:cs="Arial" w:hint="eastAsia"/>
          <w:b/>
          <w:bCs/>
          <w:color w:val="000000"/>
        </w:rPr>
        <w:t xml:space="preserve">         </w:t>
      </w:r>
      <w:r w:rsidR="00294593" w:rsidRPr="00294593">
        <w:rPr>
          <w:rFonts w:ascii="Arial" w:eastAsia="標楷體" w:hAnsi="標楷體" w:cs="Arial" w:hint="eastAsia"/>
          <w:b/>
          <w:bCs/>
          <w:color w:val="000000"/>
        </w:rPr>
        <w:t xml:space="preserve">    </w:t>
      </w:r>
      <w:r w:rsidR="00EE2384">
        <w:rPr>
          <w:rFonts w:ascii="Arial" w:eastAsia="標楷體" w:hAnsi="標楷體" w:cs="Arial" w:hint="eastAsia"/>
          <w:b/>
          <w:bCs/>
          <w:color w:val="000000"/>
        </w:rPr>
        <w:t xml:space="preserve">  </w:t>
      </w:r>
      <w:r w:rsidR="00DD459F">
        <w:rPr>
          <w:rFonts w:ascii="Arial" w:eastAsia="標楷體" w:hAnsi="標楷體" w:cs="Arial" w:hint="eastAsia"/>
          <w:b/>
          <w:bCs/>
          <w:color w:val="000000"/>
        </w:rPr>
        <w:t xml:space="preserve"> </w:t>
      </w:r>
      <w:r w:rsidR="00EE2384" w:rsidRPr="00294593">
        <w:rPr>
          <w:rFonts w:ascii="Arial" w:eastAsia="標楷體" w:hAnsi="標楷體" w:cs="Arial" w:hint="eastAsia"/>
          <w:b/>
          <w:bCs/>
          <w:color w:val="000000"/>
        </w:rPr>
        <w:t>單位主管</w:t>
      </w:r>
      <w:r w:rsidR="00EE2384" w:rsidRPr="00294593">
        <w:rPr>
          <w:rFonts w:ascii="Arial" w:eastAsia="標楷體" w:hAnsi="標楷體" w:cs="Arial"/>
          <w:b/>
          <w:bCs/>
          <w:color w:val="000000"/>
        </w:rPr>
        <w:t>：</w:t>
      </w:r>
      <w:r w:rsidR="00DD459F">
        <w:rPr>
          <w:rFonts w:ascii="Arial" w:eastAsia="標楷體" w:hAnsi="標楷體" w:cs="Arial" w:hint="eastAsia"/>
          <w:b/>
          <w:bCs/>
          <w:color w:val="000000"/>
        </w:rPr>
        <w:t xml:space="preserve">           </w:t>
      </w:r>
      <w:r w:rsidR="00EE2384">
        <w:rPr>
          <w:rFonts w:ascii="Arial" w:eastAsia="標楷體" w:hAnsi="標楷體" w:cs="Arial" w:hint="eastAsia"/>
          <w:b/>
          <w:bCs/>
          <w:color w:val="000000"/>
        </w:rPr>
        <w:t xml:space="preserve"> </w:t>
      </w:r>
      <w:r w:rsidR="00DD459F">
        <w:rPr>
          <w:rFonts w:ascii="Arial" w:eastAsia="標楷體" w:hAnsi="標楷體" w:cs="Arial" w:hint="eastAsia"/>
          <w:b/>
          <w:bCs/>
          <w:color w:val="000000"/>
        </w:rPr>
        <w:t xml:space="preserve">        </w:t>
      </w:r>
      <w:r w:rsidR="00DD459F" w:rsidRPr="00294593">
        <w:rPr>
          <w:rFonts w:ascii="Arial" w:eastAsia="標楷體" w:hAnsi="標楷體" w:cs="Arial" w:hint="eastAsia"/>
          <w:b/>
          <w:bCs/>
          <w:color w:val="000000"/>
        </w:rPr>
        <w:t>產學處推教組：</w:t>
      </w:r>
    </w:p>
    <w:p w:rsidR="00294593" w:rsidRPr="00E90EF1" w:rsidRDefault="00294593" w:rsidP="00AE69B1">
      <w:pPr>
        <w:spacing w:line="360" w:lineRule="exact"/>
        <w:ind w:firstLineChars="100" w:firstLine="240"/>
        <w:rPr>
          <w:rFonts w:ascii="Arial" w:eastAsia="標楷體" w:hAnsi="標楷體" w:cs="Arial"/>
          <w:b/>
          <w:bCs/>
          <w:color w:val="000000"/>
        </w:rPr>
      </w:pPr>
      <w:r w:rsidRPr="00294593">
        <w:rPr>
          <w:rFonts w:ascii="Arial" w:eastAsia="標楷體" w:hAnsi="標楷體" w:cs="Arial" w:hint="eastAsia"/>
          <w:b/>
          <w:bCs/>
          <w:color w:val="000000"/>
        </w:rPr>
        <w:t xml:space="preserve">                                </w:t>
      </w:r>
      <w:r w:rsidR="00EE2384">
        <w:rPr>
          <w:rFonts w:ascii="Arial" w:eastAsia="標楷體" w:hAnsi="標楷體" w:cs="Arial" w:hint="eastAsia"/>
          <w:b/>
          <w:bCs/>
          <w:color w:val="000000"/>
        </w:rPr>
        <w:t xml:space="preserve">                         </w:t>
      </w:r>
      <w:r w:rsidRPr="00294593">
        <w:rPr>
          <w:rFonts w:ascii="Arial" w:eastAsia="標楷體" w:hAnsi="標楷體" w:cs="Arial" w:hint="eastAsia"/>
          <w:b/>
          <w:bCs/>
          <w:color w:val="000000"/>
        </w:rPr>
        <w:t xml:space="preserve">  </w:t>
      </w:r>
      <w:r w:rsidR="00DD459F" w:rsidRPr="00294593">
        <w:rPr>
          <w:rFonts w:ascii="Arial" w:eastAsia="標楷體" w:hAnsi="標楷體" w:cs="Arial" w:hint="eastAsia"/>
          <w:b/>
          <w:bCs/>
          <w:color w:val="000000"/>
        </w:rPr>
        <w:t>(</w:t>
      </w:r>
      <w:r w:rsidR="00DD459F" w:rsidRPr="00294593">
        <w:rPr>
          <w:rFonts w:ascii="Arial" w:eastAsia="標楷體" w:hAnsi="標楷體" w:cs="Arial" w:hint="eastAsia"/>
          <w:b/>
          <w:bCs/>
          <w:color w:val="000000"/>
        </w:rPr>
        <w:t>審件單位</w:t>
      </w:r>
      <w:r w:rsidR="00DD459F" w:rsidRPr="00294593">
        <w:rPr>
          <w:rFonts w:ascii="Arial" w:eastAsia="標楷體" w:hAnsi="標楷體" w:cs="Arial" w:hint="eastAsia"/>
          <w:b/>
          <w:bCs/>
          <w:color w:val="000000"/>
        </w:rPr>
        <w:t>)</w:t>
      </w:r>
    </w:p>
    <w:sectPr w:rsidR="00294593" w:rsidRPr="00E90EF1" w:rsidSect="004C7FB3">
      <w:pgSz w:w="11907" w:h="16840" w:code="9"/>
      <w:pgMar w:top="568" w:right="708" w:bottom="567" w:left="1134" w:header="283"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8C" w:rsidRDefault="00BC188C" w:rsidP="004578B2">
      <w:r>
        <w:separator/>
      </w:r>
    </w:p>
  </w:endnote>
  <w:endnote w:type="continuationSeparator" w:id="0">
    <w:p w:rsidR="00BC188C" w:rsidRDefault="00BC188C" w:rsidP="0045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8C" w:rsidRDefault="00BC188C" w:rsidP="004578B2">
      <w:r>
        <w:separator/>
      </w:r>
    </w:p>
  </w:footnote>
  <w:footnote w:type="continuationSeparator" w:id="0">
    <w:p w:rsidR="00BC188C" w:rsidRDefault="00BC188C" w:rsidP="00457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AFD"/>
    <w:multiLevelType w:val="hybridMultilevel"/>
    <w:tmpl w:val="C44ADEC4"/>
    <w:lvl w:ilvl="0" w:tplc="5B042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E544D6"/>
    <w:multiLevelType w:val="hybridMultilevel"/>
    <w:tmpl w:val="94DA037E"/>
    <w:lvl w:ilvl="0" w:tplc="321CC916">
      <w:start w:val="1"/>
      <w:numFmt w:val="taiwaneseCountingThousand"/>
      <w:lvlText w:val="%1、"/>
      <w:lvlJc w:val="left"/>
      <w:pPr>
        <w:ind w:left="1212" w:hanging="360"/>
      </w:pPr>
      <w:rPr>
        <w:rFonts w:hint="default"/>
        <w:b w:val="0"/>
        <w:strike w:val="0"/>
        <w:color w:val="000000"/>
        <w:u w:val="none"/>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5D846AF7"/>
    <w:multiLevelType w:val="hybridMultilevel"/>
    <w:tmpl w:val="C7720A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E2110A7"/>
    <w:multiLevelType w:val="hybridMultilevel"/>
    <w:tmpl w:val="522E4068"/>
    <w:lvl w:ilvl="0" w:tplc="49209D0E">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F9"/>
    <w:rsid w:val="000112F5"/>
    <w:rsid w:val="000D5841"/>
    <w:rsid w:val="0010605E"/>
    <w:rsid w:val="00120EE0"/>
    <w:rsid w:val="0013019B"/>
    <w:rsid w:val="00167374"/>
    <w:rsid w:val="00190577"/>
    <w:rsid w:val="001B57F9"/>
    <w:rsid w:val="001E6D24"/>
    <w:rsid w:val="00294593"/>
    <w:rsid w:val="0029721B"/>
    <w:rsid w:val="002B56A5"/>
    <w:rsid w:val="00327BE3"/>
    <w:rsid w:val="00364514"/>
    <w:rsid w:val="003C4F38"/>
    <w:rsid w:val="00411F3E"/>
    <w:rsid w:val="00443AE3"/>
    <w:rsid w:val="004578B2"/>
    <w:rsid w:val="00485EAB"/>
    <w:rsid w:val="004C7FB3"/>
    <w:rsid w:val="005621D6"/>
    <w:rsid w:val="005764C8"/>
    <w:rsid w:val="005F3165"/>
    <w:rsid w:val="00616759"/>
    <w:rsid w:val="00616897"/>
    <w:rsid w:val="00621743"/>
    <w:rsid w:val="00647930"/>
    <w:rsid w:val="006A721D"/>
    <w:rsid w:val="00733CD5"/>
    <w:rsid w:val="007A1373"/>
    <w:rsid w:val="007E6AE5"/>
    <w:rsid w:val="00807A41"/>
    <w:rsid w:val="008609C0"/>
    <w:rsid w:val="00862091"/>
    <w:rsid w:val="009409A5"/>
    <w:rsid w:val="009835F8"/>
    <w:rsid w:val="009A5773"/>
    <w:rsid w:val="00A45902"/>
    <w:rsid w:val="00A81047"/>
    <w:rsid w:val="00A81254"/>
    <w:rsid w:val="00AE69B1"/>
    <w:rsid w:val="00B30675"/>
    <w:rsid w:val="00BC188C"/>
    <w:rsid w:val="00C420D7"/>
    <w:rsid w:val="00C4351C"/>
    <w:rsid w:val="00C93EF7"/>
    <w:rsid w:val="00CB6CB8"/>
    <w:rsid w:val="00D008FE"/>
    <w:rsid w:val="00D02DF9"/>
    <w:rsid w:val="00D82473"/>
    <w:rsid w:val="00DD459F"/>
    <w:rsid w:val="00E0532C"/>
    <w:rsid w:val="00E90EF1"/>
    <w:rsid w:val="00EA1456"/>
    <w:rsid w:val="00EE2384"/>
    <w:rsid w:val="00F15B20"/>
    <w:rsid w:val="00FA2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238494-0BB8-4CF2-BE28-2718642E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7F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A1373"/>
    <w:rPr>
      <w:sz w:val="18"/>
      <w:szCs w:val="18"/>
    </w:rPr>
  </w:style>
  <w:style w:type="paragraph" w:styleId="a4">
    <w:name w:val="annotation text"/>
    <w:basedOn w:val="a"/>
    <w:link w:val="a5"/>
    <w:uiPriority w:val="99"/>
    <w:semiHidden/>
    <w:unhideWhenUsed/>
    <w:rsid w:val="007A1373"/>
  </w:style>
  <w:style w:type="character" w:customStyle="1" w:styleId="a5">
    <w:name w:val="註解文字 字元"/>
    <w:basedOn w:val="a0"/>
    <w:link w:val="a4"/>
    <w:uiPriority w:val="99"/>
    <w:semiHidden/>
    <w:rsid w:val="007A1373"/>
    <w:rPr>
      <w:rFonts w:ascii="Calibri" w:eastAsia="新細明體" w:hAnsi="Calibri" w:cs="Times New Roman"/>
    </w:rPr>
  </w:style>
  <w:style w:type="paragraph" w:styleId="a6">
    <w:name w:val="annotation subject"/>
    <w:basedOn w:val="a4"/>
    <w:next w:val="a4"/>
    <w:link w:val="a7"/>
    <w:uiPriority w:val="99"/>
    <w:semiHidden/>
    <w:unhideWhenUsed/>
    <w:rsid w:val="007A1373"/>
    <w:rPr>
      <w:b/>
      <w:bCs/>
    </w:rPr>
  </w:style>
  <w:style w:type="character" w:customStyle="1" w:styleId="a7">
    <w:name w:val="註解主旨 字元"/>
    <w:basedOn w:val="a5"/>
    <w:link w:val="a6"/>
    <w:uiPriority w:val="99"/>
    <w:semiHidden/>
    <w:rsid w:val="007A1373"/>
    <w:rPr>
      <w:rFonts w:ascii="Calibri" w:eastAsia="新細明體" w:hAnsi="Calibri" w:cs="Times New Roman"/>
      <w:b/>
      <w:bCs/>
    </w:rPr>
  </w:style>
  <w:style w:type="paragraph" w:styleId="a8">
    <w:name w:val="Balloon Text"/>
    <w:basedOn w:val="a"/>
    <w:link w:val="a9"/>
    <w:uiPriority w:val="99"/>
    <w:semiHidden/>
    <w:unhideWhenUsed/>
    <w:rsid w:val="007A13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A1373"/>
    <w:rPr>
      <w:rFonts w:asciiTheme="majorHAnsi" w:eastAsiaTheme="majorEastAsia" w:hAnsiTheme="majorHAnsi" w:cstheme="majorBidi"/>
      <w:sz w:val="18"/>
      <w:szCs w:val="18"/>
    </w:rPr>
  </w:style>
  <w:style w:type="paragraph" w:styleId="aa">
    <w:name w:val="List Paragraph"/>
    <w:basedOn w:val="a"/>
    <w:uiPriority w:val="34"/>
    <w:qFormat/>
    <w:rsid w:val="00411F3E"/>
    <w:pPr>
      <w:ind w:leftChars="200" w:left="480"/>
    </w:pPr>
  </w:style>
  <w:style w:type="character" w:styleId="ab">
    <w:name w:val="Emphasis"/>
    <w:basedOn w:val="a0"/>
    <w:uiPriority w:val="20"/>
    <w:qFormat/>
    <w:rsid w:val="00411F3E"/>
    <w:rPr>
      <w:i/>
      <w:iCs/>
    </w:rPr>
  </w:style>
  <w:style w:type="paragraph" w:styleId="ac">
    <w:name w:val="header"/>
    <w:basedOn w:val="a"/>
    <w:link w:val="ad"/>
    <w:uiPriority w:val="99"/>
    <w:unhideWhenUsed/>
    <w:rsid w:val="004578B2"/>
    <w:pPr>
      <w:tabs>
        <w:tab w:val="center" w:pos="4153"/>
        <w:tab w:val="right" w:pos="8306"/>
      </w:tabs>
      <w:snapToGrid w:val="0"/>
    </w:pPr>
    <w:rPr>
      <w:sz w:val="20"/>
      <w:szCs w:val="20"/>
    </w:rPr>
  </w:style>
  <w:style w:type="character" w:customStyle="1" w:styleId="ad">
    <w:name w:val="頁首 字元"/>
    <w:basedOn w:val="a0"/>
    <w:link w:val="ac"/>
    <w:uiPriority w:val="99"/>
    <w:rsid w:val="004578B2"/>
    <w:rPr>
      <w:rFonts w:ascii="Calibri" w:eastAsia="新細明體" w:hAnsi="Calibri" w:cs="Times New Roman"/>
      <w:sz w:val="20"/>
      <w:szCs w:val="20"/>
    </w:rPr>
  </w:style>
  <w:style w:type="paragraph" w:styleId="ae">
    <w:name w:val="footer"/>
    <w:basedOn w:val="a"/>
    <w:link w:val="af"/>
    <w:uiPriority w:val="99"/>
    <w:unhideWhenUsed/>
    <w:rsid w:val="004578B2"/>
    <w:pPr>
      <w:tabs>
        <w:tab w:val="center" w:pos="4153"/>
        <w:tab w:val="right" w:pos="8306"/>
      </w:tabs>
      <w:snapToGrid w:val="0"/>
    </w:pPr>
    <w:rPr>
      <w:sz w:val="20"/>
      <w:szCs w:val="20"/>
    </w:rPr>
  </w:style>
  <w:style w:type="character" w:customStyle="1" w:styleId="af">
    <w:name w:val="頁尾 字元"/>
    <w:basedOn w:val="a0"/>
    <w:link w:val="ae"/>
    <w:uiPriority w:val="99"/>
    <w:rsid w:val="004578B2"/>
    <w:rPr>
      <w:rFonts w:ascii="Calibri" w:eastAsia="新細明體" w:hAnsi="Calibri" w:cs="Times New Roman"/>
      <w:sz w:val="20"/>
      <w:szCs w:val="20"/>
    </w:rPr>
  </w:style>
  <w:style w:type="paragraph" w:customStyle="1" w:styleId="Default">
    <w:name w:val="Default"/>
    <w:rsid w:val="000D5841"/>
    <w:pPr>
      <w:widowControl w:val="0"/>
      <w:autoSpaceDE w:val="0"/>
      <w:autoSpaceDN w:val="0"/>
      <w:adjustRightInd w:val="0"/>
    </w:pPr>
    <w:rPr>
      <w:rFonts w:ascii="標楷體a..." w:eastAsia="標楷體a..."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1054</Characters>
  <Application>Microsoft Office Word</Application>
  <DocSecurity>0</DocSecurity>
  <Lines>8</Lines>
  <Paragraphs>2</Paragraphs>
  <ScaleCrop>false</ScaleCrop>
  <Company>Hewlett-Packard Company</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2017-03-07T06:19:00Z</cp:lastPrinted>
  <dcterms:created xsi:type="dcterms:W3CDTF">2017-03-07T06:17:00Z</dcterms:created>
  <dcterms:modified xsi:type="dcterms:W3CDTF">2017-03-07T10:40:00Z</dcterms:modified>
</cp:coreProperties>
</file>